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DA5" w:rsidRPr="00775DA5" w:rsidRDefault="00775DA5" w:rsidP="00775DA5">
      <w:pPr>
        <w:jc w:val="both"/>
        <w:rPr>
          <w:sz w:val="24"/>
          <w:szCs w:val="24"/>
        </w:rPr>
      </w:pPr>
      <w:bookmarkStart w:id="0" w:name="_GoBack"/>
      <w:r w:rsidRPr="00775DA5">
        <w:rPr>
          <w:rFonts w:ascii="Arial" w:hAnsi="Arial" w:cs="Arial"/>
          <w:sz w:val="24"/>
          <w:szCs w:val="24"/>
          <w:shd w:val="clear" w:color="auto" w:fill="FFFFFF"/>
        </w:rPr>
        <w:t xml:space="preserve">A aveia </w:t>
      </w:r>
      <w:r w:rsidRPr="00775DA5">
        <w:rPr>
          <w:rFonts w:ascii="Arial" w:hAnsi="Arial" w:cs="Arial"/>
          <w:sz w:val="24"/>
          <w:szCs w:val="24"/>
          <w:shd w:val="clear" w:color="auto" w:fill="FFFFFF"/>
        </w:rPr>
        <w:t xml:space="preserve">preta </w:t>
      </w:r>
      <w:r w:rsidRPr="00775DA5">
        <w:rPr>
          <w:rStyle w:val="nfase"/>
          <w:rFonts w:ascii="Arial" w:hAnsi="Arial" w:cs="Arial"/>
          <w:sz w:val="24"/>
          <w:szCs w:val="24"/>
          <w:shd w:val="clear" w:color="auto" w:fill="FFFFFF"/>
        </w:rPr>
        <w:t>(Avena strigosa</w:t>
      </w:r>
      <w:r w:rsidRPr="00775DA5">
        <w:rPr>
          <w:rStyle w:val="nfas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06174">
        <w:rPr>
          <w:rStyle w:val="nfase"/>
          <w:rFonts w:ascii="Arial" w:hAnsi="Arial" w:cs="Arial"/>
          <w:sz w:val="24"/>
          <w:szCs w:val="24"/>
          <w:shd w:val="clear" w:color="auto" w:fill="FFFFFF"/>
        </w:rPr>
        <w:t>S</w:t>
      </w:r>
      <w:r w:rsidRPr="00775DA5">
        <w:rPr>
          <w:rStyle w:val="nfase"/>
          <w:rFonts w:ascii="Arial" w:hAnsi="Arial" w:cs="Arial"/>
          <w:sz w:val="24"/>
          <w:szCs w:val="24"/>
          <w:shd w:val="clear" w:color="auto" w:fill="FFFFFF"/>
        </w:rPr>
        <w:t>.)</w:t>
      </w:r>
      <w:r w:rsidRPr="00775D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75DA5">
        <w:rPr>
          <w:rFonts w:ascii="Arial" w:hAnsi="Arial" w:cs="Arial"/>
          <w:sz w:val="24"/>
          <w:szCs w:val="24"/>
          <w:shd w:val="clear" w:color="auto" w:fill="FFFFFF"/>
        </w:rPr>
        <w:t>e o azevém</w:t>
      </w:r>
      <w:r w:rsidRPr="00775DA5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Pr="00775DA5">
        <w:rPr>
          <w:rFonts w:ascii="Arial" w:hAnsi="Arial" w:cs="Arial"/>
          <w:i/>
          <w:sz w:val="24"/>
          <w:szCs w:val="24"/>
          <w:shd w:val="clear" w:color="auto" w:fill="FFFFFF"/>
        </w:rPr>
        <w:t>Lolium multiflorum L</w:t>
      </w:r>
      <w:r w:rsidRPr="00775DA5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775DA5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775DA5">
        <w:rPr>
          <w:rFonts w:ascii="Arial" w:hAnsi="Arial" w:cs="Arial"/>
          <w:sz w:val="24"/>
          <w:szCs w:val="24"/>
          <w:shd w:val="clear" w:color="auto" w:fill="FFFFFF"/>
        </w:rPr>
        <w:t xml:space="preserve"> são considerados importantes plantas espontâneas que diminuem a produtividade das lavouras de trigo da região sul do Brasil. Na busca por estratégias de controle de gramíneas espontâneas para os cultivos de inverno, a </w:t>
      </w:r>
      <w:proofErr w:type="spellStart"/>
      <w:r w:rsidRPr="00775DA5">
        <w:rPr>
          <w:rFonts w:ascii="Arial" w:hAnsi="Arial" w:cs="Arial"/>
          <w:sz w:val="24"/>
          <w:szCs w:val="24"/>
          <w:shd w:val="clear" w:color="auto" w:fill="FFFFFF"/>
        </w:rPr>
        <w:t>alelopatia</w:t>
      </w:r>
      <w:proofErr w:type="spellEnd"/>
      <w:r w:rsidRPr="00775DA5">
        <w:rPr>
          <w:rFonts w:ascii="Arial" w:hAnsi="Arial" w:cs="Arial"/>
          <w:sz w:val="24"/>
          <w:szCs w:val="24"/>
          <w:shd w:val="clear" w:color="auto" w:fill="FFFFFF"/>
        </w:rPr>
        <w:t xml:space="preserve"> é uma alternativa e é a base para alguns métodos de controle. O uso de plantas espontâneas como matéria prima para a confecção de produtos </w:t>
      </w:r>
      <w:proofErr w:type="spellStart"/>
      <w:r w:rsidRPr="00775DA5">
        <w:rPr>
          <w:rFonts w:ascii="Arial" w:hAnsi="Arial" w:cs="Arial"/>
          <w:sz w:val="24"/>
          <w:szCs w:val="24"/>
          <w:shd w:val="clear" w:color="auto" w:fill="FFFFFF"/>
        </w:rPr>
        <w:t>alelopáticos</w:t>
      </w:r>
      <w:proofErr w:type="spellEnd"/>
      <w:r w:rsidRPr="00775DA5">
        <w:rPr>
          <w:rFonts w:ascii="Arial" w:hAnsi="Arial" w:cs="Arial"/>
          <w:sz w:val="24"/>
          <w:szCs w:val="24"/>
          <w:shd w:val="clear" w:color="auto" w:fill="FFFFFF"/>
        </w:rPr>
        <w:t xml:space="preserve"> pode ser uma estratégia de otimizar os recursos disponíveis nas propriedades. Neste sentido o trabalho teve como objetivo avaliar o efeito </w:t>
      </w:r>
      <w:proofErr w:type="spellStart"/>
      <w:r w:rsidRPr="00775DA5">
        <w:rPr>
          <w:rFonts w:ascii="Arial" w:hAnsi="Arial" w:cs="Arial"/>
          <w:sz w:val="24"/>
          <w:szCs w:val="24"/>
          <w:shd w:val="clear" w:color="auto" w:fill="FFFFFF"/>
        </w:rPr>
        <w:t>alelopático</w:t>
      </w:r>
      <w:proofErr w:type="spellEnd"/>
      <w:r w:rsidRPr="00775DA5">
        <w:rPr>
          <w:rFonts w:ascii="Arial" w:hAnsi="Arial" w:cs="Arial"/>
          <w:sz w:val="24"/>
          <w:szCs w:val="24"/>
          <w:shd w:val="clear" w:color="auto" w:fill="FFFFFF"/>
        </w:rPr>
        <w:t xml:space="preserve"> de extratos aquosos das folhas de carqueja (</w:t>
      </w:r>
      <w:r w:rsidRPr="00775DA5">
        <w:rPr>
          <w:rStyle w:val="nfase"/>
          <w:rFonts w:ascii="Arial" w:hAnsi="Arial" w:cs="Arial"/>
          <w:sz w:val="24"/>
          <w:szCs w:val="24"/>
          <w:shd w:val="clear" w:color="auto" w:fill="FFFFFF"/>
        </w:rPr>
        <w:t>Baccharis trimera</w:t>
      </w:r>
      <w:r w:rsidRPr="00775DA5">
        <w:rPr>
          <w:rFonts w:ascii="Arial" w:hAnsi="Arial" w:cs="Arial"/>
          <w:sz w:val="24"/>
          <w:szCs w:val="24"/>
          <w:shd w:val="clear" w:color="auto" w:fill="FFFFFF"/>
        </w:rPr>
        <w:t>) e leiteiro (</w:t>
      </w:r>
      <w:r w:rsidRPr="00775DA5">
        <w:rPr>
          <w:rStyle w:val="nfase"/>
          <w:rFonts w:ascii="Arial" w:hAnsi="Arial" w:cs="Arial"/>
          <w:sz w:val="24"/>
          <w:szCs w:val="24"/>
          <w:shd w:val="clear" w:color="auto" w:fill="FFFFFF"/>
        </w:rPr>
        <w:t>Euphorbia heterophylla</w:t>
      </w:r>
      <w:r w:rsidRPr="00775DA5">
        <w:rPr>
          <w:rFonts w:ascii="Arial" w:hAnsi="Arial" w:cs="Arial"/>
          <w:sz w:val="24"/>
          <w:szCs w:val="24"/>
          <w:shd w:val="clear" w:color="auto" w:fill="FFFFFF"/>
        </w:rPr>
        <w:t>) sobre a germinação e na pós emergência de aveia preta</w:t>
      </w:r>
      <w:r w:rsidRPr="00775DA5">
        <w:rPr>
          <w:rStyle w:val="nfase"/>
          <w:rFonts w:ascii="Arial" w:hAnsi="Arial" w:cs="Arial"/>
          <w:sz w:val="24"/>
          <w:szCs w:val="24"/>
          <w:shd w:val="clear" w:color="auto" w:fill="FFFFFF"/>
        </w:rPr>
        <w:t> </w:t>
      </w:r>
      <w:r w:rsidRPr="00775DA5">
        <w:rPr>
          <w:rFonts w:ascii="Arial" w:hAnsi="Arial" w:cs="Arial"/>
          <w:sz w:val="24"/>
          <w:szCs w:val="24"/>
          <w:shd w:val="clear" w:color="auto" w:fill="FFFFFF"/>
        </w:rPr>
        <w:t xml:space="preserve">e azevém. Os experimentos foram realizados no laboratório da Universidade Estadual do Rio Grande do Sul (UERGS), unidade em Cachoeira do </w:t>
      </w:r>
      <w:proofErr w:type="gramStart"/>
      <w:r w:rsidRPr="00775DA5">
        <w:rPr>
          <w:rFonts w:ascii="Arial" w:hAnsi="Arial" w:cs="Arial"/>
          <w:sz w:val="24"/>
          <w:szCs w:val="24"/>
          <w:shd w:val="clear" w:color="auto" w:fill="FFFFFF"/>
        </w:rPr>
        <w:t>Sul,  em</w:t>
      </w:r>
      <w:proofErr w:type="gramEnd"/>
      <w:r w:rsidRPr="00775DA5">
        <w:rPr>
          <w:rFonts w:ascii="Arial" w:hAnsi="Arial" w:cs="Arial"/>
          <w:sz w:val="24"/>
          <w:szCs w:val="24"/>
          <w:shd w:val="clear" w:color="auto" w:fill="FFFFFF"/>
        </w:rPr>
        <w:t xml:space="preserve"> esquema inteiramente </w:t>
      </w:r>
      <w:proofErr w:type="spellStart"/>
      <w:r w:rsidRPr="00775DA5">
        <w:rPr>
          <w:rFonts w:ascii="Arial" w:hAnsi="Arial" w:cs="Arial"/>
          <w:sz w:val="24"/>
          <w:szCs w:val="24"/>
          <w:shd w:val="clear" w:color="auto" w:fill="FFFFFF"/>
        </w:rPr>
        <w:t>casualizado</w:t>
      </w:r>
      <w:proofErr w:type="spellEnd"/>
      <w:r w:rsidRPr="00775DA5">
        <w:rPr>
          <w:rFonts w:ascii="Arial" w:hAnsi="Arial" w:cs="Arial"/>
          <w:sz w:val="24"/>
          <w:szCs w:val="24"/>
          <w:shd w:val="clear" w:color="auto" w:fill="FFFFFF"/>
        </w:rPr>
        <w:t xml:space="preserve">,  em esquema </w:t>
      </w:r>
      <w:proofErr w:type="spellStart"/>
      <w:r w:rsidRPr="00775DA5">
        <w:rPr>
          <w:rFonts w:ascii="Arial" w:hAnsi="Arial" w:cs="Arial"/>
          <w:sz w:val="24"/>
          <w:szCs w:val="24"/>
          <w:shd w:val="clear" w:color="auto" w:fill="FFFFFF"/>
        </w:rPr>
        <w:t>bifatorial</w:t>
      </w:r>
      <w:proofErr w:type="spellEnd"/>
      <w:r w:rsidRPr="00775DA5">
        <w:rPr>
          <w:rFonts w:ascii="Arial" w:hAnsi="Arial" w:cs="Arial"/>
          <w:sz w:val="24"/>
          <w:szCs w:val="24"/>
          <w:shd w:val="clear" w:color="auto" w:fill="FFFFFF"/>
        </w:rPr>
        <w:t xml:space="preserve"> (duas plantas espontâneas e dois extratos) com quatro repetições. No caso da avaliação do crescimento inicial, foi utilizado apenas na aveia-preta. Na germinação, avaliou-se a porcentagem de germinação e o índice de velocidade de germinação. Na pós-emergência, avaliou-se o comprimento, a massa (fresca e seca) das raízes e da parte aérea das plantas. Os resultados foram avaliados pela análise de variância e teste </w:t>
      </w:r>
      <w:proofErr w:type="spellStart"/>
      <w:r w:rsidRPr="00775DA5">
        <w:rPr>
          <w:rFonts w:ascii="Arial" w:hAnsi="Arial" w:cs="Arial"/>
          <w:sz w:val="24"/>
          <w:szCs w:val="24"/>
          <w:shd w:val="clear" w:color="auto" w:fill="FFFFFF"/>
        </w:rPr>
        <w:t>Tukey</w:t>
      </w:r>
      <w:proofErr w:type="spellEnd"/>
      <w:r w:rsidRPr="00775DA5">
        <w:rPr>
          <w:rFonts w:ascii="Arial" w:hAnsi="Arial" w:cs="Arial"/>
          <w:sz w:val="24"/>
          <w:szCs w:val="24"/>
          <w:shd w:val="clear" w:color="auto" w:fill="FFFFFF"/>
        </w:rPr>
        <w:t xml:space="preserve"> a 5% de probabilidade de erro. Os extratos apresentaram efeito inibitório sobre a germinação de sementes de aveia preta. A aplicação dos extratos pós-emergentes na aveia preta não inibiu seu desenvolvimento. Necessita-se de mais estudos com sementes de trigo, para observar possíveis efeitos oriundos dos extratos aplicados para inibição da germinação em aveia preta.</w:t>
      </w:r>
      <w:bookmarkEnd w:id="0"/>
    </w:p>
    <w:sectPr w:rsidR="00775DA5" w:rsidRPr="00775D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A5"/>
    <w:rsid w:val="00106174"/>
    <w:rsid w:val="00775DA5"/>
    <w:rsid w:val="008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AB3E"/>
  <w15:chartTrackingRefBased/>
  <w15:docId w15:val="{5008F173-8186-4273-8CFF-C2454AD9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775D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</dc:creator>
  <cp:keywords/>
  <dc:description/>
  <cp:lastModifiedBy>Caren</cp:lastModifiedBy>
  <cp:revision>1</cp:revision>
  <dcterms:created xsi:type="dcterms:W3CDTF">2018-08-20T12:13:00Z</dcterms:created>
  <dcterms:modified xsi:type="dcterms:W3CDTF">2018-08-20T12:48:00Z</dcterms:modified>
</cp:coreProperties>
</file>