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6E" w:rsidRPr="00F71790" w:rsidRDefault="00F71790" w:rsidP="00F71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90">
        <w:rPr>
          <w:rFonts w:ascii="Times New Roman" w:hAnsi="Times New Roman" w:cs="Times New Roman"/>
          <w:sz w:val="24"/>
          <w:szCs w:val="24"/>
        </w:rPr>
        <w:t>O advento de Rachel Carson com o livro Primavera Silenciosa (1965) suscitou mundialmente os eventos decisivos para a evolução do tema ambiental. Também, simultaneamente, a Educação Ambiental entra em agendas internacionais como, a Conferência de Tbilisi (</w:t>
      </w:r>
      <w:r>
        <w:rPr>
          <w:rFonts w:ascii="Times New Roman" w:hAnsi="Times New Roman" w:cs="Times New Roman"/>
          <w:sz w:val="24"/>
          <w:szCs w:val="24"/>
        </w:rPr>
        <w:t>1977), um marco para a temática.</w:t>
      </w:r>
      <w:r w:rsidRPr="00F71790">
        <w:rPr>
          <w:rFonts w:ascii="Times New Roman" w:hAnsi="Times New Roman" w:cs="Times New Roman"/>
          <w:sz w:val="24"/>
          <w:szCs w:val="24"/>
        </w:rPr>
        <w:t xml:space="preserve"> No Brasil a Educação Ambiental entra em pauta expressivamente na Rio – 92. O termo Gestão Ambiental anda junto ao contexto histórico da questão ambiental, porém a graduação em Gestão Ambiental</w:t>
      </w:r>
      <w:r w:rsidR="006D2B5C">
        <w:rPr>
          <w:rFonts w:ascii="Times New Roman" w:hAnsi="Times New Roman" w:cs="Times New Roman"/>
          <w:sz w:val="24"/>
          <w:szCs w:val="24"/>
        </w:rPr>
        <w:t xml:space="preserve"> (1998) pode-se acreditar</w:t>
      </w:r>
      <w:bookmarkStart w:id="0" w:name="_GoBack"/>
      <w:bookmarkEnd w:id="0"/>
      <w:r w:rsidRPr="00F71790">
        <w:rPr>
          <w:rFonts w:ascii="Times New Roman" w:hAnsi="Times New Roman" w:cs="Times New Roman"/>
          <w:sz w:val="24"/>
          <w:szCs w:val="24"/>
        </w:rPr>
        <w:t xml:space="preserve"> recente nas universidades. Considera-se a Educação Ambiental como instrumento relevante de formação continuada do Gestor Ambiental, que poderá torna-lo um indivíduo mais consciente e capacitado profissionalmente para a necessária visão </w:t>
      </w:r>
      <w:proofErr w:type="spellStart"/>
      <w:r w:rsidRPr="00F71790">
        <w:rPr>
          <w:rFonts w:ascii="Times New Roman" w:hAnsi="Times New Roman" w:cs="Times New Roman"/>
          <w:sz w:val="24"/>
          <w:szCs w:val="24"/>
        </w:rPr>
        <w:t>holista</w:t>
      </w:r>
      <w:proofErr w:type="spellEnd"/>
      <w:r w:rsidRPr="00F71790">
        <w:rPr>
          <w:rFonts w:ascii="Times New Roman" w:hAnsi="Times New Roman" w:cs="Times New Roman"/>
          <w:sz w:val="24"/>
          <w:szCs w:val="24"/>
        </w:rPr>
        <w:t xml:space="preserve"> das questões socioambientais, e, assim, mais proativo ao levar novos saberes ao seu meio, o que contribuirá efetivamente para o desenvolvimento de uma sociedade sustentável. Partindo desta premissa, o estudo teve como objetivo identificar na bibliografia atual como se apresenta a relação entre a Educação Ambiental e o de Formação Profissional do Gestor Ambiental, bem como buscar elementos acerca da reflexão sobre a construção do sujeito ecológico, e, a partir dos achados, delinear o gestor-educador ambiental. A metodologia utilizada foi a revisão bibliográfica, a partir de artigos, dissertações, teses e livros por meio de buscas em repositórios online e acervo da biblioteca da unidade de São Borja, que fazem referência à Educação Ambiental no contexto histórico, a Gestão Ambiental e o profissional Gestor Ambiental, bem como o elo entre ambos. Como principais resultados destacamos: a falta de materiais que relacionem as </w:t>
      </w:r>
      <w:r w:rsidR="006151E6">
        <w:rPr>
          <w:rFonts w:ascii="Times New Roman" w:hAnsi="Times New Roman" w:cs="Times New Roman"/>
          <w:sz w:val="24"/>
          <w:szCs w:val="24"/>
        </w:rPr>
        <w:t>duas temáticas (gestor como educador ambiental)</w:t>
      </w:r>
      <w:r w:rsidRPr="00F71790">
        <w:rPr>
          <w:rFonts w:ascii="Times New Roman" w:hAnsi="Times New Roman" w:cs="Times New Roman"/>
          <w:sz w:val="24"/>
          <w:szCs w:val="24"/>
        </w:rPr>
        <w:t xml:space="preserve">; </w:t>
      </w:r>
      <w:r w:rsidR="003C5182">
        <w:rPr>
          <w:rFonts w:ascii="Times New Roman" w:hAnsi="Times New Roman" w:cs="Times New Roman"/>
          <w:sz w:val="24"/>
          <w:szCs w:val="24"/>
        </w:rPr>
        <w:t>também</w:t>
      </w:r>
      <w:r w:rsidR="006151E6">
        <w:rPr>
          <w:rFonts w:ascii="Times New Roman" w:hAnsi="Times New Roman" w:cs="Times New Roman"/>
          <w:sz w:val="24"/>
          <w:szCs w:val="24"/>
        </w:rPr>
        <w:t>,</w:t>
      </w:r>
      <w:r w:rsidRPr="00F71790">
        <w:rPr>
          <w:rFonts w:ascii="Times New Roman" w:hAnsi="Times New Roman" w:cs="Times New Roman"/>
          <w:sz w:val="24"/>
          <w:szCs w:val="24"/>
        </w:rPr>
        <w:t xml:space="preserve"> Gestor Ambi</w:t>
      </w:r>
      <w:r w:rsidR="003C5182">
        <w:rPr>
          <w:rFonts w:ascii="Times New Roman" w:hAnsi="Times New Roman" w:cs="Times New Roman"/>
          <w:sz w:val="24"/>
          <w:szCs w:val="24"/>
        </w:rPr>
        <w:t>ental como</w:t>
      </w:r>
      <w:r w:rsidRPr="00F71790">
        <w:rPr>
          <w:rFonts w:ascii="Times New Roman" w:hAnsi="Times New Roman" w:cs="Times New Roman"/>
          <w:sz w:val="24"/>
          <w:szCs w:val="24"/>
        </w:rPr>
        <w:t xml:space="preserve"> sujeito ecológico.  A partir dos resultados pode-se fazer uma relação dos </w:t>
      </w:r>
      <w:r>
        <w:rPr>
          <w:rFonts w:ascii="Times New Roman" w:hAnsi="Times New Roman" w:cs="Times New Roman"/>
          <w:sz w:val="24"/>
          <w:szCs w:val="24"/>
        </w:rPr>
        <w:t>fatores importantes ao perfil do</w:t>
      </w:r>
      <w:r w:rsidRPr="00F71790">
        <w:rPr>
          <w:rFonts w:ascii="Times New Roman" w:hAnsi="Times New Roman" w:cs="Times New Roman"/>
          <w:sz w:val="24"/>
          <w:szCs w:val="24"/>
        </w:rPr>
        <w:t xml:space="preserve"> gestor-educador ambiental. Por fim, recomenda-se a realização de mais estudos e ações em Educação Ambiental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790">
        <w:rPr>
          <w:rFonts w:ascii="Times New Roman" w:hAnsi="Times New Roman" w:cs="Times New Roman"/>
          <w:sz w:val="24"/>
          <w:szCs w:val="24"/>
        </w:rPr>
        <w:t xml:space="preserve"> de modo a contribuir para a construção do gestor-educador ambiental.</w:t>
      </w:r>
    </w:p>
    <w:sectPr w:rsidR="00C5716E" w:rsidRPr="00F71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90"/>
    <w:rsid w:val="003B0A47"/>
    <w:rsid w:val="003C5182"/>
    <w:rsid w:val="006151E6"/>
    <w:rsid w:val="006D2B5C"/>
    <w:rsid w:val="00772048"/>
    <w:rsid w:val="00F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3F8D3-2648-40AC-B1FE-77988FC1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4</cp:revision>
  <dcterms:created xsi:type="dcterms:W3CDTF">2018-08-15T21:02:00Z</dcterms:created>
  <dcterms:modified xsi:type="dcterms:W3CDTF">2018-08-15T21:21:00Z</dcterms:modified>
</cp:coreProperties>
</file>